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203</w:t>
      </w:r>
    </w:p>
    <w:p>
      <w:r>
        <w:t>Bundesgericht (BGE), 1981-08-24, DE</w:t>
      </w:r>
    </w:p>
    <w:p>
      <w:r>
        <w:rPr>
          <w:b/>
        </w:rPr>
        <w:t xml:space="preserve">Quelle: </w:t>
      </w:r>
      <w:r>
        <w:t>https://mcp.opencaselaw.ch/entscheid/bge_107 V 203</w:t>
      </w:r>
    </w:p>
    <w:p>
      <w:r>
        <w:t>FR: ATF 107 V 203</w:t>
      </w:r>
    </w:p>
    <w:p>
      <w:r>
        <w:t>IT: DTF 107 V 203</w:t>
      </w:r>
    </w:p>
    <w:p>
      <w:pPr>
        <w:pStyle w:val="Heading2"/>
      </w:pPr>
      <w:r>
        <w:t>Regeste</w:t>
      </w:r>
    </w:p>
    <w:p>
      <w:r>
        <w:t>Regeste Art. 4 BV. Technische und praktische Gründe vermögen eine Ungleichbehandlung jedenfalls dann zu rechtfertigen, wenn diese nicht zu unbilligen Ergebnissen führt (Erw. 3). Art. 41bis AHVV. Abs. 1 dieser Bestimmung ist gesetzmässig und verstösst nicht gegen die Rechtsgleichheit (Erw. 3).</w:t>
      </w:r>
    </w:p>
    <w:p>
      <w:pPr>
        <w:pStyle w:val="Heading2"/>
      </w:pPr>
      <w:r>
        <w:t>Erwägungen</w:t>
      </w:r>
    </w:p>
    <w:p>
      <w:r>
        <w:rPr>
          <w:b/>
        </w:rPr>
        <w:t>E. 2</w:t>
      </w:r>
    </w:p>
    <w:p>
      <w:r>
        <w:t>Mit dem auf den 1. Januar 1979 in Kraft getretenen Art. 14 Abs. 4 lit. e AHVG (Gesetzesnovelle vom 24. Juni 1977: 9. AHV-Revision) wurde dem Bundesrat die Befugnis erteilt, Vorschriften über die Erhebung von Verzugszinsen und die Ausrichtung von Vergütungszinsen zu erlassen. Der Bundesrat hat gestützt hierauf in Art. 41bis AHVV näher umschrieben, unter welchen Voraussetzungen der säumige Beitragsschuldner zur Leistung von Verzugszinsen verpflichtet ist. Danach sind Verzugszinsen zu entrichten, wenn die Ausgleichskasse die Beiträge in Betreibung setzt oder wenn über den Beitragspflichtigen der Konkurs eröffnet wird; in den übrigen Fällen, namentlich wenn die Ausgleichskasse eine ausserordentliche Zahlungsfrist setzt oder Beiträge nachfordert, sind Verzugszinsen nur zu entrichten, sofern die Beiträge nicht innert 4 Monaten nach Beginn des Zinslaufes bezahlt werden (Abs. 1). Besondere zusätzliche Bestimmungen gelten bei Beitragsnachforderungen (Abs. 2). Gemäss Abs. 3 der Bestimmung laufen die Verzugszinsen vom Ende der Zahlungsperiode an, es sei denn, es liege eine Nachzahlung vor. Keine Verzugszinsen sind zu entrichten, wenn die nach Bundesrecht geschuldeten Beiträge weniger als Fr. 3'000.-- ausmachen (Abs. 4). Der Zinssatz beträgt 0,5% je abgelaufenen Monat oder, wenn die Beitragsforderung in Betreibung gesetzt wird, 6% im Jahr (Abs. 5).</w:t>
      </w:r>
    </w:p>
    <w:p>
      <w:r>
        <w:rPr>
          <w:b/>
        </w:rPr>
        <w:t>E. 3</w:t>
      </w:r>
    </w:p>
    <w:p>
      <w:r>
        <w:t>Die Vorinstanz hat die streitige Verfügung mit der Begründung aufgehoben, dass die ihr zugrundeliegende Verordnungsbestimmung ( Art. 41bis AHVV ) gegen die Rechtsgleichheit und das Willkürverbot verstosse. Nach Auffassung des kantonalen Richters entspricht die Bestimmung nicht dem Willen des Gesetzgebers. a) Mit Art. 14 Abs. 4 lit. e AHVG hat der Gesetzgeber dem Bundesrat die Befugnis zum Erlass von Vorschriften über "die Erhebung von Verzugszinsen und die Ausrichtung von BGE 107 V 203 S. 205 Vergütungszinsen" übertragen. Die Delegationsnorm enthält keine besonderen Einschränkungen hinsichtlich der Rechtsetzungsbefugnis, weshalb dem Bundesrat ein weitgehendes gesetzgeberisches Ermessen eingeräumt ist. Das Gericht hat sich daher auf die Prüfung zu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hat über die Zweckmässigkeit der bundesrätlichen Verordnung nicht zu befinden. Die Verordnungsregelung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bzw. wenn sie es unterlässt, Unterscheidungen zu treffen, die richtigerweise hätten berücksichtigt werden sollen ( BGE 104 Ib 209 , 425). b) Dass sich die Regelung des Art. 41bis Abs. 1 AHVV im Rahmen der Delegationsnorm hält, kann nicht zweifelhaft sein (vgl. auch BBl 1976 III 28). Sie führt dagegen insofern zu einer ungleichen Behandlung der Beitragspflichtigen, als der Betreibungsschuldner ohne Rücksicht auf die "Schonfrist" von 4 Monaten Verzugszinsen zu bezahlen hat, wogegen der Nichtbetriebene die Beiträge innert 4 Monaten nach Ende der Zahlungsperiode ohne Verzugszinsen entrichten kann. Hierin kann entgegen der Auffassung des Beschwerdegegners und der Vorinstanz jedoch kein Verstoss gegen die Rechtsgleichheit erblickt werden. Für die streitige Regelung sprechen vorab praktische Gründe. Einerseits stellt es sowohl für den Beitragspflichtigen als auch für die Verwaltung eine Erleichterung dar, dass grundsätzlich kein Verzugszins zu entrichten ist, wenn der Beitrag innert 4 Monaten ab Ende der Zahlungsperiode bezahlt wird. Dadurch erhalten die Verwaltung für die Berechnung der Beiträge und der Beitragspflichtige für deren Entrichtung die erforderliche Zeit, ohne dass für eine zusätzliche Zinserhebung aufwendige Berechnungen, Verbuchungen und Inkassomassnahmen erfolgen müssen. Anderseits stellt es eine Vereinfachung dar, dass bei Betreibung der Verzugszins innerhalb der "Schonfrist" von 4 Monaten zusammen mit der Beitragsforderung geltend gemacht werden kann ( Art. 67 Abs. 1 Ziff. 3 SchKG ). Ohne diese Regelung müsste der Zins (bei Ablauf der Schonfrist) gesondert erhoben und allenfalls auch gesondert in BGE 107 V 203 S. 206 Betreibung gesetzt werden. Es entspricht somit einem gewissen praktischen Bedürfnis, dass bei Beitragsentrichtung innert 4 Monaten nach Ende der Zahlungsperiode keine Verzugszinsen zu bezahlen sind, wogegen die Verzugszinsen sofort geltend gemacht werden können, wenn die Beitragsforderung in Betreibung gesetzt wird (vgl. hiezu auch ZAK 1978 S. 436 ff.). Nach der Rechtsprechung vermögen technische und praktische Gründe eine Ungleichbehandlung jedenfalls dann zu rechtfertigen, wenn diese nicht zu unbilligen Ergebnissen führt ( BGE 100 Ia 328 mit Hinweisen; vgl. auch IMBODEN/RHINOW, Schweizerische Verwaltungsrechtsprechung, Bd. I Nr. 69 S. 428 f.). Zu derartigen Ergebnissen führt die streitige Verordnungsbestimmung nicht. Abgesehen davon, dass sich die unterschiedliche Regelung der Verzugszinspflicht je nachdem, ob Betreibung eingeleitet wurde oder nicht, praktisch nur dann auswirkt, wenn die betriebene Forderung vor Ablauf der "Schonfrist" bezahlt wird, ist es unter dem Gesichtspunkt der Rechtsgleichheit nicht dasselbe, ob eine Forderung innert einer bestimmten Frist freiwillig oder aber erst nach Anhebung der Betreibung bezahlt wird. Die ungleiche rechtliche Behandlung findet somit einen vernünftigen Grund in den tatsächlichen Verhältnissen. Es besteht daher kein Anlass, die Regelung des Art. 41bis Abs. 1 AHVV als rechtsungleich und damit als verfassungswidrig zu erachten. c) An diesem Ergebnis vermögen auch die Einwendungen der Vorinstanz hinsichtlich des Vollzugs der Verordnungsbestimmung nichts zu ändern. Wie das Bundesamt für Sozialversicherung in der Vernehmlassung ausführt, dürfen die Ausgleichskassen die "Schonfrist" von 4 Monaten nicht generell gewähren, sondern nur wenn beachtliche Gründe den Beitragspflichtigen an der Zahlung hindern; anderseits wird die Betreibung (während der Schonfrist) nur eingeleitet, wenn keine besonderen Verhältnisse vorliegen, welche einen Zahlungsaufschub rechtfertigen. Im übrigen haben die Ausgleichskassen ihre Befugnisse hinsichtlich des Beitragsbezugs pflichtgemäss auszuüben und Beiträge, die auf erfolgte Mahnung hin nicht bezahlt werden, ohne Verzug auf dem Wege der Betreibung einzuziehen ( Art. 15 Abs. 1 AHVG ). Dass dies im Einzelfall zufolge besonderer Umstände (Arbeitsüberlastung bei Fälligkeitsterminen) nicht möglich ist, macht die Regelung als solche nicht rechtsungleich oder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